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712"/>
        <w:tblW w:w="0" w:type="auto"/>
        <w:tblInd w:w="-142" w:type="dxa"/>
        <w:tblBorders/>
        <w:tblLayout w:type="fixed"/>
        <w:tblLook w:val="04A0" w:firstRow="1" w:lastRow="0" w:firstColumn="1" w:lastColumn="0" w:noHBand="0" w:noVBand="1"/>
      </w:tblPr>
      <w:tblGrid>
        <w:gridCol w:w="3260"/>
        <w:gridCol w:w="3118"/>
        <w:gridCol w:w="3260"/>
      </w:tblGrid>
      <w:tr>
        <w:trPr>
          <w:trHeight w:val="992"/>
        </w:trPr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sz w:val="14"/>
                <w:szCs w:val="14"/>
              </w:rPr>
            </w:pPr>
            <w:r>
              <w:rPr>
                <w:rFonts w:ascii="Open Sans" w:hAnsi="Open Sans" w:eastAsia="Open Sans" w:cs="Open Sans"/>
                <w:sz w:val="18"/>
                <w:szCs w:val="1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00" cy="571500"/>
                      <wp:effectExtent l="0" t="0" r="0" b="0"/>
                      <wp:docPr id="1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14727937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09599" cy="571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48.00pt;height:45.00pt;mso-wrap-distance-left:0.00pt;mso-wrap-distance-top:0.00pt;mso-wrap-distance-right:0.00pt;mso-wrap-distance-bottom:0.00pt;z-index:1;" stroked="false">
                      <v:imagedata r:id="rId10" o:title=""/>
                      <o:lock v:ext="edit" rotation="t"/>
                    </v:shape>
                  </w:pict>
                </mc:Fallback>
              </mc:AlternateConten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77893" cy="583624"/>
                      <wp:effectExtent l="0" t="0" r="0" b="0"/>
                      <wp:docPr id="2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4158130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677893" cy="5836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" o:spid="_x0000_s1" type="#_x0000_t75" style="width:53.38pt;height:45.95pt;mso-wrap-distance-left:0.00pt;mso-wrap-distance-top:0.00pt;mso-wrap-distance-right:0.00pt;mso-wrap-distance-bottom:0.00pt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Open Sans" w:hAnsi="Open Sans" w:eastAsia="Open Sans" w:cs="Open Sans"/>
                <w:sz w:val="18"/>
                <w:szCs w:val="18"/>
              </w:rPr>
            </w:r>
            <w:r>
              <w:rPr>
                <w:rFonts w:ascii="Open Sans" w:hAnsi="Open Sans" w:eastAsia="Open Sans" w:cs="Open Sans"/>
                <w:sz w:val="14"/>
                <w:szCs w:val="14"/>
              </w:rPr>
            </w:r>
          </w:p>
        </w:tc>
        <w:tc>
          <w:tcPr>
            <w:tcBorders/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sz w:val="14"/>
                <w:szCs w:val="14"/>
                <w:highlight w:val="none"/>
              </w:rPr>
            </w:pPr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Quartier Zéro Déchet Valmy</w:t>
            </w:r>
            <w:r>
              <w:rPr>
                <w:rFonts w:ascii="Open Sans" w:hAnsi="Open Sans" w:eastAsia="Open Sans" w:cs="Open Sans"/>
                <w:sz w:val="18"/>
                <w:szCs w:val="18"/>
              </w:rPr>
            </w:r>
            <w:r>
              <w:rPr>
                <w:rFonts w:ascii="Open Sans" w:hAnsi="Open Sans" w:eastAsia="Open Sans" w:cs="Open Sans"/>
                <w:sz w:val="14"/>
                <w:szCs w:val="1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sz w:val="14"/>
                <w:szCs w:val="14"/>
                <w:highlight w:val="none"/>
              </w:rPr>
            </w:pPr>
            <w:r>
              <w:rPr>
                <w:rFonts w:ascii="Open Sans" w:hAnsi="Open Sans" w:eastAsia="Open Sans" w:cs="Open Sans"/>
                <w:sz w:val="18"/>
                <w:szCs w:val="18"/>
                <w:highlight w:val="none"/>
              </w:rPr>
              <w:t xml:space="preserve">Fiche 24-009</w:t>
            </w:r>
            <w:r>
              <w:rPr>
                <w:rFonts w:ascii="Open Sans" w:hAnsi="Open Sans" w:eastAsia="Open Sans" w:cs="Open Sans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sz w:val="14"/>
                <w:szCs w:val="1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sz w:val="18"/>
                <w:szCs w:val="18"/>
                <w:highlight w:val="none"/>
              </w:rPr>
              <w:t xml:space="preserve">Plan d’action</w:t>
            </w:r>
            <w:r>
              <w:rPr>
                <w:rFonts w:ascii="Open Sans" w:hAnsi="Open Sans" w:eastAsia="Open Sans" w:cs="Open Sans"/>
                <w:sz w:val="18"/>
                <w:szCs w:val="18"/>
                <w:highlight w:val="none"/>
              </w:rPr>
            </w:r>
          </w:p>
        </w:tc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32333" cy="684476"/>
                      <wp:effectExtent l="0" t="0" r="0" b="0"/>
                      <wp:docPr id="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21380083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932332" cy="68447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" o:spid="_x0000_s2" type="#_x0000_t75" style="width:73.41pt;height:53.90pt;mso-wrap-distance-left:0.00pt;mso-wrap-distance-top:0.00pt;mso-wrap-distance-right:0.00pt;mso-wrap-distance-bottom:0.00pt;z-index:1;" stroked="false">
                      <v:imagedata r:id="rId12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Open Sans" w:hAnsi="Open Sans" w:eastAsia="Open Sans" w:cs="Open Sans"/>
              </w:rPr>
            </w:r>
            <w:r>
              <w:rPr>
                <w:rFonts w:ascii="Open Sans" w:hAnsi="Open Sans" w:eastAsia="Open Sans" w:cs="Open Sans"/>
              </w:rPr>
            </w:r>
          </w:p>
        </w:tc>
      </w:tr>
      <w:tr>
        <w:trPr/>
        <w:tc>
          <w:tcPr>
            <w:gridSpan w:val="3"/>
            <w:tcBorders/>
            <w:tcW w:w="96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color w:val="007e78"/>
                <w:highlight w:val="none"/>
              </w:rPr>
            </w:pPr>
            <w:r>
              <w:rPr>
                <w:rFonts w:ascii="Open Sans" w:hAnsi="Open Sans" w:eastAsia="Open Sans" w:cs="Open Sans"/>
                <w:b/>
                <w:color w:val="007e78"/>
                <w:sz w:val="40"/>
              </w:rPr>
              <w:t xml:space="preserve">Plan d’action</w:t>
            </w:r>
            <w:r>
              <w:rPr>
                <w:rFonts w:ascii="Open Sans" w:hAnsi="Open Sans" w:eastAsia="Open Sans" w:cs="Open Sans"/>
                <w:color w:val="007e78"/>
                <w:highlight w:val="none"/>
              </w:rPr>
            </w:r>
            <w:r>
              <w:rPr>
                <w:rFonts w:ascii="Open Sans" w:hAnsi="Open Sans" w:eastAsia="Open Sans" w:cs="Open Sans"/>
                <w:color w:val="007e7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color w:val="808080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/>
                <w:color w:val="808080" w:themeColor="background1" w:themeShade="80"/>
                <w:sz w:val="18"/>
                <w:szCs w:val="18"/>
                <w:highlight w:val="none"/>
              </w:rPr>
              <w:t xml:space="preserve">grille d’élaboration et de suivi</w:t>
            </w:r>
            <w:r>
              <w:rPr>
                <w:rFonts w:ascii="Open Sans" w:hAnsi="Open Sans" w:eastAsia="Open Sans" w:cs="Open Sans"/>
                <w:b w:val="0"/>
                <w:bCs w:val="0"/>
                <w:sz w:val="18"/>
                <w:szCs w:val="18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color w:val="808080"/>
                <w:sz w:val="18"/>
                <w:szCs w:val="18"/>
                <w:highlight w:val="none"/>
              </w:rPr>
            </w:r>
          </w:p>
        </w:tc>
      </w:tr>
    </w:tbl>
    <w:tbl>
      <w:tblPr>
        <w:tblStyle w:val="712"/>
        <w:tblW w:w="0" w:type="auto"/>
        <w:tblInd w:w="-176" w:type="dxa"/>
        <w:tblBorders/>
        <w:tblLayout w:type="fixed"/>
        <w:tblLook w:val="04A0" w:firstRow="1" w:lastRow="0" w:firstColumn="1" w:lastColumn="0" w:noHBand="0" w:noVBand="1"/>
      </w:tblPr>
      <w:tblGrid>
        <w:gridCol w:w="3010"/>
        <w:gridCol w:w="1276"/>
        <w:gridCol w:w="1417"/>
        <w:gridCol w:w="1269"/>
        <w:gridCol w:w="6"/>
        <w:gridCol w:w="2693"/>
      </w:tblGrid>
      <w:tr>
        <w:trPr>
          <w:trHeight w:val="740"/>
        </w:trPr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Cs/>
                <w:i/>
                <w:color w:val="007e78" w:themeColor="background1" w:themeShade="80"/>
                <w:sz w:val="10"/>
                <w:szCs w:val="10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Engagement / action « zéro déchet »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2"/>
                <w:szCs w:val="12"/>
                <w:highlight w:val="none"/>
                <w14:ligatures w14:val="none"/>
              </w:rPr>
            </w:r>
          </w:p>
        </w:tc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Action réalisable? O/N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Personne référente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Cs/>
                <w:i/>
                <w:color w:val="007e78" w:themeColor="background1" w:themeShade="80"/>
                <w:sz w:val="10"/>
                <w:szCs w:val="10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de l’action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2"/>
                <w:szCs w:val="12"/>
                <w:highlight w:val="none"/>
                <w14:ligatures w14:val="none"/>
              </w:rPr>
            </w:r>
          </w:p>
        </w:tc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Objectif de planning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4"/>
                <w:szCs w:val="14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gridSpan w:val="2"/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Fiche méthodologique à produire ? O/N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color w:val="007e78"/>
                <w:sz w:val="28"/>
                <w:szCs w:val="28"/>
              </w:rPr>
            </w:r>
            <w:r>
              <w:rPr>
                <w:rFonts w:ascii="Open Sans" w:hAnsi="Open Sans" w:eastAsia="Open Sans" w:cs="Open Sans"/>
                <w:b/>
                <w:bCs/>
                <w:color w:val="007e78"/>
                <w:sz w:val="28"/>
                <w:szCs w:val="28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</w:tc>
      </w:tr>
      <w:tr>
        <w:trPr>
          <w:trHeight w:val="287"/>
        </w:trPr>
        <w:tc>
          <w:tcPr>
            <w:gridSpan w:val="6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9672" w:type="dxa"/>
            <w:vMerge w:val="restart"/>
            <w:textDirection w:val="lrTb"/>
            <w:noWrap w:val="false"/>
          </w:tcPr>
          <w:p>
            <w:pPr>
              <w:pStyle w:val="860"/>
              <w:numPr>
                <w:ilvl w:val="0"/>
                <w:numId w:val="6"/>
              </w:numPr>
              <w:pBdr/>
              <w:spacing/>
              <w:ind/>
              <w:jc w:val="left"/>
              <w:rPr>
                <w:rFonts w:ascii="Open Sans" w:hAnsi="Open Sans" w:eastAsia="Open Sans" w:cs="Open Sans"/>
                <w:b/>
                <w:bCs w:val="0"/>
                <w:i w:val="0"/>
                <w:color w:val="007e78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20"/>
                <w:szCs w:val="20"/>
                <w:highlight w:val="none"/>
              </w:rPr>
              <w:t xml:space="preserve">Mettre en place une démarche inclusive, mobiliser collectivement (voir Fiche 24-008)</w:t>
            </w: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20"/>
                <w:szCs w:val="20"/>
                <w:highlight w:val="none"/>
              </w:rPr>
            </w: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20"/>
                <w:szCs w:val="20"/>
                <w:highlight w:val="none"/>
              </w:rPr>
            </w:r>
          </w:p>
        </w:tc>
      </w:tr>
      <w:tr>
        <w:trPr>
          <w:trHeight w:val="740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S’appuyer sur des supports de communication (affiche, mise en avant de bonne pratiques)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840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Mettre en place une charte  de « co-location » ou charte des bonnes pratiques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840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Enquête, sondage pour recruter des personnes motivées et cibler des actions prioritaires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1103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1124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213"/>
        </w:trPr>
        <w:tc>
          <w:tcPr>
            <w:gridSpan w:val="6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9672" w:type="dxa"/>
            <w:vMerge w:val="restart"/>
            <w:textDirection w:val="lrTb"/>
            <w:noWrap w:val="false"/>
          </w:tcPr>
          <w:p>
            <w:pPr>
              <w:pStyle w:val="860"/>
              <w:numPr>
                <w:ilvl w:val="0"/>
                <w:numId w:val="6"/>
              </w:numPr>
              <w:pBdr/>
              <w:spacing/>
              <w:ind/>
              <w:jc w:val="left"/>
              <w:rPr>
                <w:rFonts w:ascii="Open Sans" w:hAnsi="Open Sans" w:eastAsia="Open Sans" w:cs="Open Sans"/>
                <w:b/>
                <w:bCs w:val="0"/>
                <w:i w:val="0"/>
                <w:color w:val="007e78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20"/>
                <w:szCs w:val="20"/>
                <w:highlight w:val="none"/>
              </w:rPr>
              <w:t xml:space="preserve">Faire un bilan préalable</w:t>
            </w: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20"/>
                <w:szCs w:val="20"/>
                <w:highlight w:val="none"/>
              </w:rPr>
            </w:r>
          </w:p>
        </w:tc>
      </w:tr>
      <w:tr>
        <w:trPr>
          <w:trHeight w:val="967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Faire un état des lieux précis des sources de déchets (par typologie : emballages, verre, cartons, biodéchets etc.) et des quantités produites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967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Analyser ce bilan et identifier des coûts liés aux déchets pour légitimer et mesurer les impacts des actions correctives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1174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330"/>
        </w:trPr>
        <w:tc>
          <w:tcPr>
            <w:gridSpan w:val="6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9672" w:type="dxa"/>
            <w:vMerge w:val="restart"/>
            <w:textDirection w:val="lrTb"/>
            <w:noWrap w:val="false"/>
          </w:tcPr>
          <w:p>
            <w:pPr>
              <w:pStyle w:val="860"/>
              <w:numPr>
                <w:ilvl w:val="0"/>
                <w:numId w:val="6"/>
              </w:numPr>
              <w:pBdr/>
              <w:spacing/>
              <w:ind/>
              <w:jc w:val="left"/>
              <w:rPr>
                <w:rFonts w:ascii="Open Sans" w:hAnsi="Open Sans" w:eastAsia="Open Sans" w:cs="Open Sans"/>
                <w:b/>
                <w:bCs w:val="0"/>
                <w:i w:val="0"/>
                <w:color w:val="007e78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20"/>
                <w:szCs w:val="20"/>
                <w:highlight w:val="none"/>
              </w:rPr>
              <w:t xml:space="preserve">Éviter les impressions inutiles, comment imprimer raisonnablement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Open Sans" w:hAnsi="Open Sans" w:eastAsia="Open Sans" w:cs="Open Sans"/>
                <w:b/>
                <w:bCs w:val="0"/>
                <w:i w:val="0"/>
                <w:color w:val="007e78"/>
                <w:sz w:val="20"/>
                <w:szCs w:val="20"/>
                <w:highlight w:val="none"/>
                <w14:ligatures w14:val="none"/>
              </w:rPr>
            </w:r>
          </w:p>
        </w:tc>
      </w:tr>
      <w:tr>
        <w:trPr>
          <w:trHeight w:val="805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Réduire le nombre d’imprimantes par service/ étage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840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Utiliser un service de gestions des impressions (incluant une validation par code personnelle ou badge)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840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Paramétrer les imprimantes par défaut en recto-verso, noir &amp; blanc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1124"/>
        </w:trPr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Engagement / action « zéro déchet »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</w:p>
        </w:tc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Action réalisable? O/N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Personne référente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de l’action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</w:p>
        </w:tc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Objectif de planning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gridSpan w:val="2"/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Fiche méthodologique à produire ? O/N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</w:tc>
      </w:tr>
      <w:tr>
        <w:trPr>
          <w:trHeight w:val="1124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Prévoir un copieur de bac d’imprimante dédié à l’utilisation de feuilles de brouillon + installer des bannettes de stockages de feuilles de brouillon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810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Utiliser du papier recyclé 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840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840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273"/>
        </w:trPr>
        <w:tc>
          <w:tcPr>
            <w:gridSpan w:val="6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9672" w:type="dxa"/>
            <w:vMerge w:val="restart"/>
            <w:textDirection w:val="lrTb"/>
            <w:noWrap w:val="false"/>
          </w:tcPr>
          <w:p>
            <w:pPr>
              <w:pStyle w:val="860"/>
              <w:numPr>
                <w:ilvl w:val="0"/>
                <w:numId w:val="6"/>
              </w:numPr>
              <w:pBdr/>
              <w:spacing/>
              <w:ind/>
              <w:jc w:val="left"/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</w:rPr>
              <w:t xml:space="preserve">Réduire la consommation de fournitures</w:t>
            </w: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</w:rPr>
            </w:r>
          </w:p>
        </w:tc>
      </w:tr>
      <w:tr>
        <w:trPr>
          <w:trHeight w:val="1417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Revoir la politiques d’Achats : </w:t>
              <w:br/>
              <w:t xml:space="preserve">- inclure des critères de choix concernant les solutions de tri en fin d’usage/recyclabilité, la toxicité des produits, lieux de fabrication, éco-conception etc.), matières naturelles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1012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2"/>
                <w:szCs w:val="12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- privilégier les fournitures essentielles, les formats rechargeables (cartouches d’impression)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4"/>
                <w:szCs w:val="14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982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2"/>
                <w:szCs w:val="12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- centraliser les fournitures pour limiter les déplacements et donc la surconsommation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4"/>
                <w:szCs w:val="14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719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2"/>
                <w:szCs w:val="12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- installer une boîte de retour des fournitures non utilisées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4"/>
                <w:szCs w:val="14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1377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1377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307"/>
        </w:trPr>
        <w:tc>
          <w:tcPr>
            <w:gridSpan w:val="6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9672" w:type="dxa"/>
            <w:vMerge w:val="restart"/>
            <w:textDirection w:val="lrTb"/>
            <w:noWrap w:val="false"/>
          </w:tcPr>
          <w:p>
            <w:pPr>
              <w:pStyle w:val="860"/>
              <w:numPr>
                <w:ilvl w:val="0"/>
                <w:numId w:val="6"/>
              </w:numPr>
              <w:pBdr/>
              <w:spacing/>
              <w:ind/>
              <w:jc w:val="left"/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</w:rPr>
              <w:t xml:space="preserve">Trouver des alternatives au jetable pour la pause café/déjeuner (passer au réutilisable)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  <w14:ligatures w14:val="none"/>
              </w:rPr>
            </w:r>
          </w:p>
        </w:tc>
      </w:tr>
      <w:tr>
        <w:trPr>
          <w:trHeight w:val="1637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Remplacer les gobelets de(s) machine(s) à café par des mugs (ex : lancer un appel/concours à chaque personne d’amener son mug le plus moche/drôle/insolite qu’il n’utilise plus au fond de son placard pour constituer un stock)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1134"/>
        </w:trPr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Engagement / action « zéro déchet »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</w:p>
        </w:tc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Action réalisable? O/N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Personne référente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de l’action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</w:p>
        </w:tc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Objectif de planning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gridSpan w:val="2"/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Fiche méthodologique à produire ? O/N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</w:tc>
      </w:tr>
      <w:tr>
        <w:trPr>
          <w:trHeight w:val="1134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Équiper la cuisine de couverts, assiettes et contenants type tupperwares réutilisables (penser à acheter d’occasion ou proposer une collecte du personnel)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850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Installer des petites cuillères à proximité de(s) machine(s) à café, supprimer les touillettes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840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Proposer un kit de bienvenue à chaque nouvelle personne (mug, gourde, lunchbox , sachet vrac)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2116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Afficher une carte des lieux du quartier qui acceptent les contenants pour le repas du midi (</w:t>
            </w:r>
            <w:hyperlink r:id="rId13" w:tooltip="https://zerodechet.gogocarto.fr/annuaire#/carte/@45.752,4.855,13z?cat=all" w:history="1">
              <w:r>
                <w:rPr>
                  <w:rStyle w:val="838"/>
                  <w:rFonts w:ascii="Open Sans" w:hAnsi="Open Sans" w:eastAsia="Open Sans" w:cs="Open Sans"/>
                  <w:b w:val="0"/>
                  <w:bCs w:val="0"/>
                  <w:i w:val="0"/>
                  <w:iCs w:val="0"/>
                  <w:color w:val="000000" w:themeColor="text1"/>
                  <w:sz w:val="16"/>
                  <w:szCs w:val="16"/>
                  <w:highlight w:val="none"/>
                </w:rPr>
                <w:t xml:space="preserve">voir carte MCZD</w:t>
              </w:r>
            </w:hyperlink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), vous pouvez la rendre participative en proposant aux personnes de mettre leurs avis en étoiles etc. 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hyperlink r:id="rId14" w:tooltip="https://zerodechetlyon.org/les-projets/mon-commerce-zero-dechet/" w:history="1">
              <w:r>
                <w:rPr>
                  <w:rStyle w:val="838"/>
                  <w:rFonts w:ascii="Open Sans" w:hAnsi="Open Sans" w:eastAsia="Open Sans" w:cs="Open Sans"/>
                  <w:b w:val="0"/>
                  <w:bCs w:val="0"/>
                  <w:i w:val="0"/>
                  <w:iCs w:val="0"/>
                  <w:color w:val="000000" w:themeColor="text1"/>
                  <w:sz w:val="16"/>
                  <w:szCs w:val="16"/>
                  <w:highlight w:val="none"/>
                </w:rPr>
                <w:t xml:space="preserve">https://zerodechetlyon.org/les-projets/mon-commerce-zero-dechet/</w:t>
              </w:r>
              <w:r>
                <w:rPr>
                  <w:rStyle w:val="838"/>
                  <w:rFonts w:ascii="Open Sans" w:hAnsi="Open Sans" w:eastAsia="Open Sans" w:cs="Open Sans"/>
                  <w:b w:val="0"/>
                  <w:bCs w:val="0"/>
                  <w:i w:val="0"/>
                  <w:iCs w:val="0"/>
                  <w:color w:val="000000" w:themeColor="text1"/>
                  <w:sz w:val="16"/>
                  <w:szCs w:val="16"/>
                  <w:highlight w:val="none"/>
                </w:rPr>
              </w:r>
            </w:hyperlink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1275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Initier des commandes groupées/trajets groupés vers des commerces engagés pour initier des collègues à l’utilisation facile  de contenants réutilisables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1275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1275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287"/>
        </w:trPr>
        <w:tc>
          <w:tcPr>
            <w:gridSpan w:val="6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9672" w:type="dxa"/>
            <w:vMerge w:val="restart"/>
            <w:textDirection w:val="lrTb"/>
            <w:noWrap w:val="false"/>
          </w:tcPr>
          <w:p>
            <w:pPr>
              <w:pStyle w:val="860"/>
              <w:numPr>
                <w:ilvl w:val="0"/>
                <w:numId w:val="6"/>
              </w:numPr>
              <w:pBdr/>
              <w:spacing/>
              <w:ind/>
              <w:jc w:val="left"/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</w:rPr>
              <w:t xml:space="preserve">Organisation de séminaires/évènements zéro déchet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  <w14:ligatures w14:val="none"/>
              </w:rPr>
            </w:r>
          </w:p>
        </w:tc>
      </w:tr>
      <w:tr>
        <w:trPr>
          <w:trHeight w:val="1080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Passer à du </w:t>
            </w:r>
            <w:hyperlink r:id="rId15" w:tooltip="https://zerodechet.gogocarto.fr/annuaire#/carte/@45.752,4.855,13z?cat=all" w:history="1">
              <w:r>
                <w:rPr>
                  <w:rStyle w:val="838"/>
                  <w:rFonts w:ascii="Open Sans" w:hAnsi="Open Sans" w:eastAsia="Open Sans" w:cs="Open Sans"/>
                  <w:b w:val="0"/>
                  <w:bCs w:val="0"/>
                  <w:i w:val="0"/>
                  <w:iCs w:val="0"/>
                  <w:color w:val="000000" w:themeColor="text1"/>
                  <w:sz w:val="16"/>
                  <w:szCs w:val="16"/>
                  <w:highlight w:val="none"/>
                </w:rPr>
                <w:t xml:space="preserve">vrac ou grand conditionnement</w:t>
              </w:r>
            </w:hyperlink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, des boissons consignées 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hyperlink r:id="rId16" w:tooltip="https://www.rebooteille.fr/" w:history="1">
              <w:r>
                <w:rPr>
                  <w:rStyle w:val="838"/>
                  <w:rFonts w:ascii="Open Sans" w:hAnsi="Open Sans" w:eastAsia="Open Sans" w:cs="Open Sans"/>
                  <w:b w:val="0"/>
                  <w:bCs w:val="0"/>
                  <w:i w:val="0"/>
                  <w:iCs w:val="0"/>
                  <w:color w:val="000000" w:themeColor="text1"/>
                  <w:sz w:val="16"/>
                  <w:szCs w:val="16"/>
                  <w:highlight w:val="none"/>
                </w:rPr>
                <w:t xml:space="preserve">https://www.rebooteille.fr/</w:t>
              </w:r>
              <w:r>
                <w:rPr>
                  <w:rStyle w:val="838"/>
                  <w:rFonts w:ascii="Open Sans" w:hAnsi="Open Sans" w:eastAsia="Open Sans" w:cs="Open Sans"/>
                  <w:b w:val="0"/>
                  <w:bCs w:val="0"/>
                  <w:i w:val="0"/>
                  <w:iCs w:val="0"/>
                  <w:color w:val="000000" w:themeColor="text1"/>
                  <w:sz w:val="16"/>
                  <w:szCs w:val="16"/>
                  <w:highlight w:val="none"/>
                </w:rPr>
              </w:r>
              <w:r>
                <w:rPr>
                  <w:rStyle w:val="838"/>
                  <w:rFonts w:ascii="Open Sans" w:hAnsi="Open Sans" w:eastAsia="Open Sans" w:cs="Open Sans"/>
                  <w:b w:val="0"/>
                  <w:bCs w:val="0"/>
                  <w:i w:val="0"/>
                  <w:iCs w:val="0"/>
                  <w:color w:val="000000" w:themeColor="text1"/>
                  <w:sz w:val="16"/>
                  <w:szCs w:val="16"/>
                  <w:highlight w:val="none"/>
                </w:rPr>
              </w:r>
            </w:hyperlink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982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 Solliciter les commerces  de produits vrac &amp; locaux du quartier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hyperlink r:id="rId17" w:tooltip="https://zerodechetlyon.org/les-projets/mon-commerce-zero-dechet/" w:history="1">
              <w:r>
                <w:rPr>
                  <w:rStyle w:val="838"/>
                  <w:rFonts w:ascii="Open Sans" w:hAnsi="Open Sans" w:eastAsia="Open Sans" w:cs="Open Sans"/>
                  <w:b w:val="0"/>
                  <w:bCs w:val="0"/>
                  <w:i w:val="0"/>
                  <w:iCs w:val="0"/>
                  <w:color w:val="000000" w:themeColor="text1"/>
                  <w:sz w:val="16"/>
                  <w:szCs w:val="16"/>
                  <w:highlight w:val="none"/>
                </w:rPr>
                <w:t xml:space="preserve">https://zerodechetlyon.org/les-projets/mon-commerce-zero-dechet/</w:t>
              </w:r>
              <w:r>
                <w:rPr>
                  <w:rStyle w:val="838"/>
                  <w:rFonts w:ascii="Open Sans" w:hAnsi="Open Sans" w:eastAsia="Open Sans" w:cs="Open Sans"/>
                  <w:b w:val="0"/>
                  <w:bCs w:val="0"/>
                  <w:i w:val="0"/>
                  <w:iCs w:val="0"/>
                  <w:color w:val="000000" w:themeColor="text1"/>
                  <w:sz w:val="16"/>
                  <w:szCs w:val="16"/>
                  <w:highlight w:val="none"/>
                </w:rPr>
              </w:r>
            </w:hyperlink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840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Passer aux 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cafetières à piston, thermos, carafes, verres en dur (oublier des dosettes individuelles)</w:t>
            </w:r>
            <w:r/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699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Impliquer le service achats dans ces nouvelles pratiques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699"/>
        </w:trPr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Engagement / action « zéro déchet »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</w:p>
        </w:tc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Action réalisable? O/N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Personne référente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de l’action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</w:p>
        </w:tc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Objectif de planning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gridSpan w:val="2"/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Fiche méthodologique à produire ? O/N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</w:tc>
      </w:tr>
      <w:tr>
        <w:trPr>
          <w:trHeight w:val="699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Solliciter des traiteurs proposant une offre zéro déchet et végétarienne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1442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Communiquer sur ces nouvelles pratiques/fournisseurs, notamment si cela demande un peu plus d’anticipation et d’organisation (installation/ stockage du matériel lavage, gestion des restes...)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1275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1275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222"/>
        </w:trPr>
        <w:tc>
          <w:tcPr>
            <w:gridSpan w:val="6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9672" w:type="dxa"/>
            <w:vMerge w:val="restart"/>
            <w:textDirection w:val="lrTb"/>
            <w:noWrap w:val="false"/>
          </w:tcPr>
          <w:p>
            <w:pPr>
              <w:pStyle w:val="860"/>
              <w:numPr>
                <w:ilvl w:val="0"/>
                <w:numId w:val="6"/>
              </w:numPr>
              <w:pBdr/>
              <w:spacing/>
              <w:ind/>
              <w:jc w:val="left"/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</w:rPr>
              <w:t xml:space="preserve">Valoriser ses biodéchets</w:t>
            </w: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  <w14:ligatures w14:val="none"/>
              </w:rPr>
            </w:r>
          </w:p>
        </w:tc>
      </w:tr>
      <w:tr>
        <w:trPr>
          <w:trHeight w:val="859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Si vos locaux ont un restaurant d’entreprise : faire appel à un prestataire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1407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Si vous possédez un espace extérieur (jardin, cour) : </w:t>
              <w:br/>
              <w:t xml:space="preserve">  - installer un composteur 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(prévoir des consignes sur des affichages clairs 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+ annoncer la/les personne(s) référente (s) )</w:t>
            </w:r>
            <w:r/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840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   - organiser une redistribution du compost obtenu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1549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Installer un lombricomposteur en intérieur (prévoir des consignes sur des affichages clairs 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+ annoncer la/les personne(s) référente (s) )</w:t>
            </w:r>
            <w:r/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4"/>
                <w:szCs w:val="4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4"/>
                <w:szCs w:val="4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4"/>
                <w:szCs w:val="4"/>
                <w:highlight w:val="none"/>
              </w:rPr>
            </w:r>
          </w:p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   - organiser une redistribution du compost obtenu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1407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Mettre en place une collecte si des collaborateur·rices veulent récupérer les biodéchets pour les composter chez eux·elles 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 (prévoir des consignes sur des affichages clairs+ annoncer la/les personne(s) référente (s) )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982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Installer un-des bacs dédié(s) à certains endroits stratégiques (espace cuisine, cantine...)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1625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709"/>
        </w:trPr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Engagement / action « zéro déchet »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</w:p>
        </w:tc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Action réalisable? O/N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Personne référente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de l’action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</w:p>
        </w:tc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Objectif de planning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gridSpan w:val="2"/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Fiche méthodologique à produire ? O/N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</w:tc>
      </w:tr>
      <w:tr>
        <w:trPr>
          <w:trHeight w:val="1625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264"/>
        </w:trPr>
        <w:tc>
          <w:tcPr>
            <w:gridSpan w:val="6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9672" w:type="dxa"/>
            <w:vMerge w:val="restart"/>
            <w:textDirection w:val="lrTb"/>
            <w:noWrap w:val="false"/>
          </w:tcPr>
          <w:p>
            <w:pPr>
              <w:pStyle w:val="860"/>
              <w:numPr>
                <w:ilvl w:val="0"/>
                <w:numId w:val="6"/>
              </w:numPr>
              <w:pBdr/>
              <w:spacing/>
              <w:ind/>
              <w:jc w:val="left"/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</w:rPr>
              <w:t xml:space="preserve">Réduire les pollutions lors des pauses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  <w14:ligatures w14:val="none"/>
              </w:rPr>
            </w:r>
          </w:p>
        </w:tc>
      </w:tr>
      <w:tr>
        <w:trPr>
          <w:trHeight w:val="1701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Prévoir une collecte des mégots dans les zones fumeurs avec des cendriers (ça peut être un simple bocal) – attention aux pots trop légers qui s’envolent facilement</w:t>
              <w:br/>
              <w:t xml:space="preserve">Les cendriers à vote peuvent être très ludiques ou les colorer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1158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Développer un affichage sur les lieux fumeurs pour communiquer sur les impacts des mégots ( kits de com sur 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hyperlink r:id="rId18" w:tooltip="https://www.surfrider.fr/sinformer" w:history="1">
              <w:r>
                <w:rPr>
                  <w:rStyle w:val="838"/>
                  <w:rFonts w:ascii="Open Sans" w:hAnsi="Open Sans" w:eastAsia="Open Sans" w:cs="Open Sans"/>
                  <w:b w:val="0"/>
                  <w:bCs w:val="0"/>
                  <w:i w:val="0"/>
                  <w:iCs w:val="0"/>
                  <w:color w:val="000000" w:themeColor="text1"/>
                  <w:sz w:val="16"/>
                  <w:szCs w:val="16"/>
                  <w:highlight w:val="none"/>
                </w:rPr>
                <w:t xml:space="preserve">https://www.surfrider.fr/sinformer</w:t>
              </w:r>
              <w:r>
                <w:rPr>
                  <w:rStyle w:val="838"/>
                  <w:rFonts w:ascii="Open Sans" w:hAnsi="Open Sans" w:eastAsia="Open Sans" w:cs="Open Sans"/>
                  <w:b w:val="0"/>
                  <w:bCs w:val="0"/>
                  <w:i w:val="0"/>
                  <w:iCs w:val="0"/>
                  <w:color w:val="000000" w:themeColor="text1"/>
                  <w:sz w:val="16"/>
                  <w:szCs w:val="16"/>
                  <w:highlight w:val="none"/>
                </w:rPr>
              </w:r>
            </w:hyperlink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 )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1275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1275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221"/>
        </w:trPr>
        <w:tc>
          <w:tcPr>
            <w:gridSpan w:val="6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9672" w:type="dxa"/>
            <w:vMerge w:val="restart"/>
            <w:textDirection w:val="lrTb"/>
            <w:noWrap w:val="false"/>
          </w:tcPr>
          <w:p>
            <w:pPr>
              <w:pStyle w:val="860"/>
              <w:numPr>
                <w:ilvl w:val="0"/>
                <w:numId w:val="6"/>
              </w:numPr>
              <w:pBdr/>
              <w:spacing/>
              <w:ind/>
              <w:jc w:val="left"/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</w:rPr>
              <w:t xml:space="preserve">Installer des pratiques d’achat d’occasion et de réemploi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  <w14:ligatures w14:val="none"/>
              </w:rPr>
            </w:r>
          </w:p>
        </w:tc>
      </w:tr>
      <w:tr>
        <w:trPr>
          <w:trHeight w:val="1099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Mettre en place un schéma de réflexion  sur les besoin avec le service Achats : doit-on réellement remplacer ce matériel ?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1124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Développer ces pratiques d’achat d’occasion e de réemploi pour les achats de matériel électriques, électroniques et le mobiliers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1124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Créer une feuille de justificatif d’achat spécialement pour les achats d’occasion afin de constituer une preuve d’achat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1407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Développer un protocole inverse pour de remplacement du matériel non utilisé ou obsolète (don aux association ou particuliers, revente), un fichier de suivi du matériel (durée d’utilisation, service etc.)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1124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214"/>
        </w:trPr>
        <w:tc>
          <w:tcPr>
            <w:gridSpan w:val="6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9672" w:type="dxa"/>
            <w:vMerge w:val="restart"/>
            <w:textDirection w:val="lrTb"/>
            <w:noWrap w:val="false"/>
          </w:tcPr>
          <w:p>
            <w:pPr>
              <w:pStyle w:val="860"/>
              <w:numPr>
                <w:ilvl w:val="0"/>
                <w:numId w:val="6"/>
              </w:numPr>
              <w:pBdr/>
              <w:spacing/>
              <w:ind/>
              <w:jc w:val="left"/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</w:rPr>
              <w:t xml:space="preserve">Améliorer la durée de vue de son matériel</w:t>
            </w: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  <w14:ligatures w14:val="none"/>
              </w:rPr>
            </w:r>
          </w:p>
        </w:tc>
      </w:tr>
      <w:tr>
        <w:trPr>
          <w:trHeight w:val="709"/>
        </w:trPr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Engagement / action « zéro déchet »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</w:p>
        </w:tc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Action réalisable? O/N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Personne référente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de l’action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</w:p>
        </w:tc>
        <w:tc>
          <w:tcPr>
            <w:gridSpan w:val="2"/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Objectif de planning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Fiche méthodologique à produire ? O/N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</w:tc>
      </w:tr>
      <w:tr>
        <w:trPr>
          <w:trHeight w:val="1010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Communiquer sur les gestions simples à réaliser pour économiser la consommation d’énergie dans les bâtiments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1691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Communiquer sur les bonnes pratiques pour étendre la durée de vie du matériel (réglage par défaut des ordinateurs/mise en veille, extinction des multi-prises, chargement des téléphones, multi-prises programmables etc.)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709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Intégrer la réparabilité dans les politiques d’achats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930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Solliciter des services de location du matériels (incluant entretiens et mises-à-jour)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834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Développer les pratiques de réparation du matériels plutôt que l’achat neuf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789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Former des personnes référentes par service/étage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903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903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291"/>
        </w:trPr>
        <w:tc>
          <w:tcPr>
            <w:gridSpan w:val="6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9672" w:type="dxa"/>
            <w:vMerge w:val="restart"/>
            <w:textDirection w:val="lrTb"/>
            <w:noWrap w:val="false"/>
          </w:tcPr>
          <w:p>
            <w:pPr>
              <w:pStyle w:val="860"/>
              <w:numPr>
                <w:ilvl w:val="0"/>
                <w:numId w:val="6"/>
              </w:numPr>
              <w:pBdr/>
              <w:spacing/>
              <w:ind/>
              <w:jc w:val="left"/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</w:rPr>
              <w:t xml:space="preserve">Choisir bien son prestataire de ménage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  <w14:ligatures w14:val="none"/>
              </w:rPr>
            </w:r>
          </w:p>
        </w:tc>
      </w:tr>
      <w:tr>
        <w:trPr>
          <w:trHeight w:val="2651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Instaurer des bonnes pratiques de collecte : </w:t>
              <w:br/>
              <w:t xml:space="preserve">- former son prestataire à la pratique zéro déchet appliquée au bureau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- intégrer ses demandes dans le contrat du prestataire/cahier des charges + s’assurer qu’il forme bien ses employé·es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- lister + afficher sur place les missions et  différents lieux où vider les différents bacs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1407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De manière générale, élaborer un cahier des charges détaillé : produits d’entretien souhaités naturels (vinaigre blancs, bicarbonate de sodium, savon noir) et le matériels utilisables (lavables réutilisables) etc. 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1124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709"/>
        </w:trPr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Engagement / action « zéro déchet »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</w:p>
        </w:tc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Action réalisable? O/N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Personne référente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de l’action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</w:p>
        </w:tc>
        <w:tc>
          <w:tcPr>
            <w:gridSpan w:val="2"/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Objectif de planning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Fiche méthodologique à produire ? O/N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</w:tc>
      </w:tr>
      <w:tr>
        <w:trPr>
          <w:trHeight w:val="903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301"/>
        </w:trPr>
        <w:tc>
          <w:tcPr>
            <w:gridSpan w:val="6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9672" w:type="dxa"/>
            <w:vMerge w:val="restart"/>
            <w:textDirection w:val="lrTb"/>
            <w:noWrap w:val="false"/>
          </w:tcPr>
          <w:p>
            <w:pPr>
              <w:pStyle w:val="860"/>
              <w:numPr>
                <w:ilvl w:val="0"/>
                <w:numId w:val="6"/>
              </w:numPr>
              <w:pBdr/>
              <w:spacing/>
              <w:ind/>
              <w:jc w:val="left"/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</w:rPr>
              <w:t xml:space="preserve">Optimiser le système de tri de sa structure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  <w14:ligatures w14:val="none"/>
              </w:rPr>
            </w:r>
          </w:p>
        </w:tc>
      </w:tr>
      <w:tr>
        <w:trPr>
          <w:trHeight w:val="893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Mettre en place un système de communication  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  <w:u w:val="single"/>
              </w:rPr>
              <w:t xml:space="preserve">visible, efficace,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</w:rPr>
              <w:t xml:space="preserve"> 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  <w:u w:val="single"/>
              </w:rPr>
              <w:t xml:space="preserve">compréhensible et orale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850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Choisir des réceptacles adéquats (forme, matériau, couleur)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1266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Définir des emplacements dans les couloirs, les bacs de collectes spécifiques à côtés de leur utilisation (ex : bacs de collecte des cartouche d’encre à côté des imprimantes)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903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903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228"/>
        </w:trPr>
        <w:tc>
          <w:tcPr>
            <w:gridSpan w:val="6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9672" w:type="dxa"/>
            <w:vMerge w:val="restart"/>
            <w:textDirection w:val="lrTb"/>
            <w:noWrap w:val="false"/>
          </w:tcPr>
          <w:p>
            <w:pPr>
              <w:pStyle w:val="860"/>
              <w:numPr>
                <w:ilvl w:val="0"/>
                <w:numId w:val="6"/>
              </w:numPr>
              <w:pBdr/>
              <w:spacing/>
              <w:ind/>
              <w:jc w:val="left"/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</w:rPr>
              <w:t xml:space="preserve">Sensibiliser aux bons gestes : communiquer pour faciliter les changements d’habitudes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  <w14:ligatures w14:val="none"/>
              </w:rPr>
            </w:r>
          </w:p>
        </w:tc>
      </w:tr>
      <w:tr>
        <w:trPr>
          <w:trHeight w:val="744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Affichage régulier : des réussites, des axes d’amélioration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699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Affichages installés dans les lieux où les efforts sont faits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699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Prévoir un planning pour impliquer de manière progressive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1266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Installer un tableau de bord (évolution des consommations, des déchets produits, des économies faites, des contenants jetables évités etc.)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699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Installer un espace d’expression (boîte à discussion, à idées)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1124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Définir une incitation financière (déchets économisés se transformant en cagnotte pour un repas d’équipe etc)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1124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982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rPr>
          <w:trHeight w:val="709"/>
        </w:trPr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Engagement / action « zéro déchet »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</w:p>
        </w:tc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Action réalisable? O/N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Personne référente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de l’action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0"/>
                <w:szCs w:val="10"/>
                <w:highlight w:val="none"/>
                <w14:ligatures w14:val="none"/>
              </w:rPr>
            </w:r>
          </w:p>
        </w:tc>
        <w:tc>
          <w:tcPr>
            <w:gridSpan w:val="2"/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Objectif de planning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shd w:val="clear" w:color="fff2cc" w:themeColor="accent4" w:themeTint="33" w:fill="fff2cc" w:themeFill="accent4" w:themeFillTint="3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/>
                <w:iCs/>
                <w:color w:val="007e78"/>
                <w:sz w:val="16"/>
                <w:szCs w:val="16"/>
                <w:highlight w:val="none"/>
              </w:rPr>
              <w:t xml:space="preserve">Fiche méthodologique à produire ? O/N</w:t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Open Sans" w:hAnsi="Open Sans" w:eastAsia="Open Sans" w:cs="Open Sans"/>
                <w:b/>
                <w:bCs/>
                <w:i/>
                <w:color w:val="007e78"/>
                <w:sz w:val="16"/>
                <w:szCs w:val="16"/>
                <w:highlight w:val="none"/>
                <w14:ligatures w14:val="none"/>
              </w:rPr>
            </w:r>
          </w:p>
        </w:tc>
      </w:tr>
      <w:tr>
        <w:trPr>
          <w:trHeight w:val="273"/>
        </w:trPr>
        <w:tc>
          <w:tcPr>
            <w:gridSpan w:val="6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9672" w:type="dxa"/>
            <w:vMerge w:val="restart"/>
            <w:textDirection w:val="lrTb"/>
            <w:noWrap w:val="false"/>
          </w:tcPr>
          <w:p>
            <w:pPr>
              <w:pStyle w:val="860"/>
              <w:numPr>
                <w:ilvl w:val="0"/>
                <w:numId w:val="6"/>
              </w:numPr>
              <w:pBdr/>
              <w:spacing/>
              <w:ind/>
              <w:jc w:val="left"/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</w:rPr>
              <w:t xml:space="preserve">Pérenniser les actions et nouvelles pratiques dans les équipes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  <w14:ligatures w14:val="none"/>
              </w:rPr>
            </w:r>
          </w:p>
        </w:tc>
      </w:tr>
      <w:tr>
        <w:trPr>
          <w:trHeight w:val="1124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Initier des challenge entre services pour faire mieux chaque année par types de déchets ou pour un déchets précis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982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Stockage des fiches méthodologiques du plan d’action et mise à jour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color w:val="000000" w:themeColor="text1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1275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/>
                <w:bCs/>
                <w:i/>
                <w:iCs/>
                <w:color w:val="808080" w:themeColor="text1"/>
                <w:sz w:val="12"/>
                <w:szCs w:val="12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Formation des nouvelles personnes aux pratiques zéro déchet et passation+formation à prévoir si changement de personne référente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4"/>
                <w:szCs w:val="14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2"/>
                <w:szCs w:val="12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1124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  <w:t xml:space="preserve">Planifier un temps annuel d’évaluation incluant un temps préalable par personne référent pour préparer ses suivis/données</w:t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982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982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283"/>
        </w:trPr>
        <w:tc>
          <w:tcPr>
            <w:gridSpan w:val="6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9672" w:type="dxa"/>
            <w:vMerge w:val="restart"/>
            <w:textDirection w:val="lrTb"/>
            <w:noWrap w:val="false"/>
          </w:tcPr>
          <w:p>
            <w:pPr>
              <w:pStyle w:val="860"/>
              <w:numPr>
                <w:ilvl w:val="0"/>
                <w:numId w:val="6"/>
              </w:numPr>
              <w:pBdr/>
              <w:spacing/>
              <w:ind/>
              <w:jc w:val="left"/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</w:rPr>
              <w:t xml:space="preserve">Autre(s) catégorie(s)</w:t>
            </w:r>
            <w:r>
              <w:rPr>
                <w:rFonts w:ascii="Open Sans" w:hAnsi="Open Sans" w:eastAsia="Open Sans" w:cs="Open Sans"/>
                <w:b/>
                <w:bCs/>
                <w:i w:val="0"/>
                <w:iCs w:val="0"/>
                <w:color w:val="007e78"/>
                <w:sz w:val="18"/>
                <w:szCs w:val="18"/>
                <w:highlight w:val="none"/>
              </w:rPr>
            </w:r>
          </w:p>
        </w:tc>
      </w:tr>
      <w:tr>
        <w:trPr>
          <w:trHeight w:val="982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982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982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982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982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trHeight w:val="982"/>
        </w:trPr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30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12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</w:tbl>
    <w:p>
      <w:pPr>
        <w:pBdr/>
        <w:spacing/>
        <w:ind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</w:r>
      <w:r>
        <w:rPr>
          <w:rFonts w:ascii="Open Sans" w:hAnsi="Open Sans" w:eastAsia="Open Sans" w:cs="Open Sans"/>
        </w:rPr>
      </w:r>
      <w:r>
        <w:rPr>
          <w:rFonts w:ascii="Open Sans" w:hAnsi="Open Sans" w:eastAsia="Open Sans" w:cs="Open Sans"/>
        </w:rPr>
      </w:r>
    </w:p>
    <w:sectPr>
      <w:footerReference w:type="default" r:id="rId9"/>
      <w:footnotePr/>
      <w:endnotePr/>
      <w:type w:val="nextPage"/>
      <w:pgSz w:h="16838" w:orient="landscape" w:w="11906"/>
      <w:pgMar w:top="1134" w:right="850" w:bottom="1134" w:left="1701" w:header="709" w:footer="550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pBdr/>
      <w:spacing/>
      <w:ind/>
      <w:jc w:val="center"/>
      <w:rPr>
        <w:rFonts w:ascii="Open Sans" w:hAnsi="Open Sans" w:cs="Open Sans"/>
        <w:sz w:val="20"/>
        <w:szCs w:val="20"/>
      </w:rPr>
    </w:pPr>
    <w:r>
      <w:rPr>
        <w:rFonts w:ascii="Open Sans" w:hAnsi="Open Sans" w:eastAsia="Open Sans" w:cs="Open Sans"/>
        <w:sz w:val="20"/>
        <w:szCs w:val="20"/>
      </w:rPr>
      <w:t xml:space="preserve">Quartier Zéro Déchet Valmy - 24-009-Plan d’action                                                       </w:t>
    </w:r>
    <w:fldSimple w:instr="PAGE \* MERGEFORMAT">
      <w:r>
        <w:rPr>
          <w:rFonts w:ascii="Open Sans" w:hAnsi="Open Sans" w:eastAsia="Open Sans" w:cs="Open Sans"/>
          <w:sz w:val="20"/>
          <w:szCs w:val="20"/>
        </w:rPr>
        <w:t xml:space="preserve">1</w:t>
      </w:r>
    </w:fldSimple>
    <w:r>
      <w:rPr>
        <w:rFonts w:ascii="Open Sans" w:hAnsi="Open Sans" w:eastAsia="Open Sans" w:cs="Open Sans"/>
        <w:sz w:val="20"/>
        <w:szCs w:val="20"/>
      </w:rPr>
    </w:r>
    <w:r>
      <w:rPr>
        <w:rFonts w:ascii="Open Sans" w:hAnsi="Open Sans" w:eastAsia="Open Sans" w:cs="Open Sans"/>
        <w:sz w:val="20"/>
        <w:szCs w:val="20"/>
      </w:rPr>
      <w:t xml:space="preserve">/</w:t>
    </w:r>
    <w:fldSimple w:instr="NUMPAGES \* MERGEFORMAT">
      <w:r>
        <w:rPr>
          <w:rFonts w:ascii="Open Sans" w:hAnsi="Open Sans" w:eastAsia="Open Sans" w:cs="Open Sans"/>
          <w:sz w:val="20"/>
          <w:szCs w:val="20"/>
        </w:rPr>
        <w:t xml:space="preserve">1</w:t>
      </w:r>
    </w:fldSimple>
    <w:r>
      <w:rPr>
        <w:rFonts w:ascii="Open Sans" w:hAnsi="Open Sans" w:eastAsia="Open Sans" w:cs="Open Sans"/>
        <w:sz w:val="20"/>
        <w:szCs w:val="20"/>
      </w:rPr>
    </w:r>
    <w:r>
      <w:rPr>
        <w:rFonts w:ascii="Open Sans" w:hAnsi="Open Sans" w:eastAsia="Open Sans" w:cs="Open Sans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color w:val="007e78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>
        <w:sz w:val="32"/>
      </w:rPr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space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09"/>
      </w:pPr>
      <w:rPr>
        <w:b/>
        <w:color w:val="007e7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2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4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7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2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3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4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9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2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6"/>
    <w:next w:val="856"/>
    <w:link w:val="68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856"/>
    <w:next w:val="856"/>
    <w:link w:val="68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84">
    <w:name w:val="Heading 3"/>
    <w:basedOn w:val="856"/>
    <w:next w:val="856"/>
    <w:link w:val="68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86">
    <w:name w:val="Heading 4"/>
    <w:basedOn w:val="856"/>
    <w:next w:val="856"/>
    <w:link w:val="68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6"/>
    <w:next w:val="856"/>
    <w:link w:val="68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6"/>
    <w:next w:val="856"/>
    <w:link w:val="69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6"/>
    <w:next w:val="856"/>
    <w:link w:val="69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6"/>
    <w:next w:val="856"/>
    <w:link w:val="69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6"/>
    <w:next w:val="856"/>
    <w:link w:val="69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8">
    <w:name w:val="Title"/>
    <w:basedOn w:val="856"/>
    <w:next w:val="856"/>
    <w:link w:val="69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99">
    <w:name w:val="Title Char"/>
    <w:link w:val="698"/>
    <w:uiPriority w:val="10"/>
    <w:pPr>
      <w:pBdr/>
      <w:spacing/>
      <w:ind/>
    </w:pPr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01">
    <w:name w:val="Subtitle Char"/>
    <w:link w:val="700"/>
    <w:uiPriority w:val="11"/>
    <w:pPr>
      <w:pBdr/>
      <w:spacing/>
      <w:ind/>
    </w:pPr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pBdr/>
      <w:spacing/>
      <w:ind w:right="720" w:left="720"/>
    </w:pPr>
    <w:rPr>
      <w:i/>
    </w:rPr>
  </w:style>
  <w:style w:type="character" w:styleId="703">
    <w:name w:val="Quote Char"/>
    <w:link w:val="702"/>
    <w:uiPriority w:val="29"/>
    <w:pPr>
      <w:pBdr/>
      <w:spacing/>
      <w:ind/>
    </w:pPr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05">
    <w:name w:val="Intense Quote Char"/>
    <w:link w:val="704"/>
    <w:uiPriority w:val="30"/>
    <w:pPr>
      <w:pBdr/>
      <w:spacing/>
      <w:ind/>
    </w:pPr>
    <w:rPr>
      <w:i/>
    </w:rPr>
  </w:style>
  <w:style w:type="paragraph" w:styleId="706">
    <w:name w:val="Header"/>
    <w:basedOn w:val="856"/>
    <w:link w:val="70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7">
    <w:name w:val="Header Char"/>
    <w:link w:val="706"/>
    <w:uiPriority w:val="99"/>
    <w:pPr>
      <w:pBdr/>
      <w:spacing/>
      <w:ind/>
    </w:pPr>
  </w:style>
  <w:style w:type="paragraph" w:styleId="708">
    <w:name w:val="Footer"/>
    <w:basedOn w:val="856"/>
    <w:link w:val="71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9">
    <w:name w:val="Footer Char"/>
    <w:link w:val="708"/>
    <w:uiPriority w:val="99"/>
    <w:pPr>
      <w:pBdr/>
      <w:spacing/>
      <w:ind/>
    </w:pPr>
  </w:style>
  <w:style w:type="paragraph" w:styleId="710">
    <w:name w:val="Caption"/>
    <w:basedOn w:val="856"/>
    <w:next w:val="85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  <w:pPr>
      <w:pBdr/>
      <w:spacing/>
      <w:ind/>
    </w:pPr>
  </w:style>
  <w:style w:type="table" w:styleId="712">
    <w:name w:val="Table Grid"/>
    <w:basedOn w:val="85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Table Grid Light"/>
    <w:basedOn w:val="85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1"/>
    <w:basedOn w:val="85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2"/>
    <w:basedOn w:val="85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1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2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3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4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5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6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1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2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3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4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5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6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1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2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3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4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5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6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40">
    <w:name w:val="Footnote Text Char"/>
    <w:link w:val="839"/>
    <w:uiPriority w:val="99"/>
    <w:pPr>
      <w:pBdr/>
      <w:spacing/>
      <w:ind/>
    </w:pPr>
    <w:rPr>
      <w:sz w:val="18"/>
    </w:rPr>
  </w:style>
  <w:style w:type="character" w:styleId="841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43">
    <w:name w:val="Endnote Text Char"/>
    <w:link w:val="842"/>
    <w:uiPriority w:val="99"/>
    <w:pPr>
      <w:pBdr/>
      <w:spacing/>
      <w:ind/>
    </w:pPr>
    <w:rPr>
      <w:sz w:val="20"/>
    </w:rPr>
  </w:style>
  <w:style w:type="character" w:styleId="844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pBdr/>
      <w:spacing w:after="57"/>
      <w:ind w:right="0" w:firstLine="0" w:left="0"/>
    </w:pPr>
  </w:style>
  <w:style w:type="paragraph" w:styleId="846">
    <w:name w:val="toc 2"/>
    <w:basedOn w:val="856"/>
    <w:next w:val="856"/>
    <w:uiPriority w:val="39"/>
    <w:unhideWhenUsed/>
    <w:pPr>
      <w:pBdr/>
      <w:spacing w:after="57"/>
      <w:ind w:right="0" w:firstLine="0" w:left="283"/>
    </w:pPr>
  </w:style>
  <w:style w:type="paragraph" w:styleId="847">
    <w:name w:val="toc 3"/>
    <w:basedOn w:val="856"/>
    <w:next w:val="856"/>
    <w:uiPriority w:val="39"/>
    <w:unhideWhenUsed/>
    <w:pPr>
      <w:pBdr/>
      <w:spacing w:after="57"/>
      <w:ind w:right="0" w:firstLine="0" w:left="567"/>
    </w:pPr>
  </w:style>
  <w:style w:type="paragraph" w:styleId="848">
    <w:name w:val="toc 4"/>
    <w:basedOn w:val="856"/>
    <w:next w:val="856"/>
    <w:uiPriority w:val="39"/>
    <w:unhideWhenUsed/>
    <w:pPr>
      <w:pBdr/>
      <w:spacing w:after="57"/>
      <w:ind w:right="0" w:firstLine="0" w:left="850"/>
    </w:pPr>
  </w:style>
  <w:style w:type="paragraph" w:styleId="849">
    <w:name w:val="toc 5"/>
    <w:basedOn w:val="856"/>
    <w:next w:val="856"/>
    <w:uiPriority w:val="39"/>
    <w:unhideWhenUsed/>
    <w:pPr>
      <w:pBdr/>
      <w:spacing w:after="57"/>
      <w:ind w:right="0" w:firstLine="0" w:left="1134"/>
    </w:pPr>
  </w:style>
  <w:style w:type="paragraph" w:styleId="850">
    <w:name w:val="toc 6"/>
    <w:basedOn w:val="856"/>
    <w:next w:val="856"/>
    <w:uiPriority w:val="39"/>
    <w:unhideWhenUsed/>
    <w:pPr>
      <w:pBdr/>
      <w:spacing w:after="57"/>
      <w:ind w:right="0" w:firstLine="0" w:left="1417"/>
    </w:pPr>
  </w:style>
  <w:style w:type="paragraph" w:styleId="851">
    <w:name w:val="toc 7"/>
    <w:basedOn w:val="856"/>
    <w:next w:val="856"/>
    <w:uiPriority w:val="39"/>
    <w:unhideWhenUsed/>
    <w:pPr>
      <w:pBdr/>
      <w:spacing w:after="57"/>
      <w:ind w:right="0" w:firstLine="0" w:left="1701"/>
    </w:pPr>
  </w:style>
  <w:style w:type="paragraph" w:styleId="852">
    <w:name w:val="toc 8"/>
    <w:basedOn w:val="856"/>
    <w:next w:val="856"/>
    <w:uiPriority w:val="39"/>
    <w:unhideWhenUsed/>
    <w:pPr>
      <w:pBdr/>
      <w:spacing w:after="57"/>
      <w:ind w:right="0" w:firstLine="0" w:left="1984"/>
    </w:pPr>
  </w:style>
  <w:style w:type="paragraph" w:styleId="853">
    <w:name w:val="toc 9"/>
    <w:basedOn w:val="856"/>
    <w:next w:val="856"/>
    <w:uiPriority w:val="39"/>
    <w:unhideWhenUsed/>
    <w:pPr>
      <w:pBdr/>
      <w:spacing w:after="57"/>
      <w:ind w:right="0" w:firstLine="0" w:left="2268"/>
    </w:pPr>
  </w:style>
  <w:style w:type="paragraph" w:styleId="854">
    <w:name w:val="TOC Heading"/>
    <w:uiPriority w:val="39"/>
    <w:unhideWhenUsed/>
    <w:pPr>
      <w:pBdr/>
      <w:spacing/>
      <w:ind/>
    </w:pPr>
  </w:style>
  <w:style w:type="paragraph" w:styleId="855">
    <w:name w:val="table of figures"/>
    <w:basedOn w:val="856"/>
    <w:next w:val="856"/>
    <w:uiPriority w:val="99"/>
    <w:unhideWhenUsed/>
    <w:pPr>
      <w:pBdr/>
      <w:spacing w:after="0" w:afterAutospacing="0"/>
      <w:ind/>
    </w:pPr>
  </w:style>
  <w:style w:type="paragraph" w:styleId="856" w:default="1">
    <w:name w:val="Normal"/>
    <w:qFormat/>
    <w:pPr>
      <w:pBdr/>
      <w:spacing/>
      <w:ind/>
    </w:pPr>
  </w:style>
  <w:style w:type="table" w:styleId="85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8" w:default="1">
    <w:name w:val="No List"/>
    <w:uiPriority w:val="99"/>
    <w:semiHidden/>
    <w:unhideWhenUsed/>
    <w:pPr>
      <w:pBdr/>
      <w:spacing/>
      <w:ind/>
    </w:pPr>
  </w:style>
  <w:style w:type="paragraph" w:styleId="859">
    <w:name w:val="No Spacing"/>
    <w:basedOn w:val="856"/>
    <w:uiPriority w:val="1"/>
    <w:qFormat/>
    <w:pPr>
      <w:pBdr/>
      <w:spacing w:after="0" w:line="240" w:lineRule="auto"/>
      <w:ind/>
    </w:pPr>
  </w:style>
  <w:style w:type="paragraph" w:styleId="860">
    <w:name w:val="List Paragraph"/>
    <w:basedOn w:val="856"/>
    <w:uiPriority w:val="34"/>
    <w:qFormat/>
    <w:pPr>
      <w:pBdr/>
      <w:spacing/>
      <w:ind w:left="720"/>
      <w:contextualSpacing w:val="true"/>
    </w:pPr>
  </w:style>
  <w:style w:type="character" w:styleId="861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png"/><Relationship Id="rId13" Type="http://schemas.openxmlformats.org/officeDocument/2006/relationships/hyperlink" Target="https://zerodechet.gogocarto.fr/annuaire#/carte/@45.752,4.855,13z?cat=all" TargetMode="External"/><Relationship Id="rId14" Type="http://schemas.openxmlformats.org/officeDocument/2006/relationships/hyperlink" Target="https://zerodechetlyon.org/les-projets/mon-commerce-zero-dechet/" TargetMode="External"/><Relationship Id="rId15" Type="http://schemas.openxmlformats.org/officeDocument/2006/relationships/hyperlink" Target="https://zerodechet.gogocarto.fr/annuaire#/carte/@45.752,4.855,13z?cat=all" TargetMode="External"/><Relationship Id="rId16" Type="http://schemas.openxmlformats.org/officeDocument/2006/relationships/hyperlink" Target="https://www.rebooteille.fr/" TargetMode="External"/><Relationship Id="rId17" Type="http://schemas.openxmlformats.org/officeDocument/2006/relationships/hyperlink" Target="https://zerodechetlyon.org/les-projets/mon-commerce-zero-dechet/" TargetMode="External"/><Relationship Id="rId18" Type="http://schemas.openxmlformats.org/officeDocument/2006/relationships/hyperlink" Target="https://www.surfrider.fr/sinforme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2024-02-08T18:54:40Z</dcterms:modified>
</cp:coreProperties>
</file>